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E2A5E" w14:textId="71BA4C2D" w:rsidR="00852B0E" w:rsidRDefault="00AA0957" w:rsidP="00EC6B13">
      <w:pPr>
        <w:pStyle w:val="Heading1"/>
      </w:pPr>
      <w:r>
        <w:t>Weighting: km or MW.km</w:t>
      </w:r>
    </w:p>
    <w:p w14:paraId="55743D9B" w14:textId="4BC8676A" w:rsidR="00AA0957" w:rsidRDefault="00AA0957" w:rsidP="00AA0957">
      <w:r>
        <w:t xml:space="preserve">The current CUSC methodology calculates the average cost of a MW.km of </w:t>
      </w:r>
      <w:r w:rsidR="00EC6B13">
        <w:t xml:space="preserve">a </w:t>
      </w:r>
      <w:r>
        <w:t>circuit (be it overhead line or cable and 400kV, 275 kV or 132 kV) based on the length of the new build</w:t>
      </w:r>
      <w:r w:rsidR="00EC6B13">
        <w:t>. Is it correct to use the length of the circuit, rather then the rating of the circuit?</w:t>
      </w:r>
    </w:p>
    <w:p w14:paraId="24E2CBA2" w14:textId="2BAADEB8" w:rsidR="00AA0957" w:rsidRDefault="00AA0957" w:rsidP="00AA0957"/>
    <w:p w14:paraId="552EFCA7" w14:textId="041E86CB" w:rsidR="00AA0957" w:rsidRDefault="00AA0957" w:rsidP="00AA0957">
      <w:r>
        <w:t>Given that the tariff calculations are based on the MW.km of circuit</w:t>
      </w:r>
      <w:r w:rsidR="00750671">
        <w:t>s</w:t>
      </w:r>
      <w:r>
        <w:t xml:space="preserve">, </w:t>
      </w:r>
      <w:r w:rsidR="00750671">
        <w:t>not simpl</w:t>
      </w:r>
      <w:r w:rsidR="00EC6B13">
        <w:t>y</w:t>
      </w:r>
      <w:r w:rsidR="00750671">
        <w:t xml:space="preserve"> the length (km) of new circuit build, it appears more appropriate to weight the average calculation based on the MW.km of length.</w:t>
      </w:r>
    </w:p>
    <w:p w14:paraId="387EEBCF" w14:textId="78293425" w:rsidR="00750671" w:rsidRDefault="00750671" w:rsidP="00AA0957"/>
    <w:p w14:paraId="5FC26860" w14:textId="51FB0BA5" w:rsidR="00750671" w:rsidRDefault="00750671" w:rsidP="00AA0957">
      <w:r>
        <w:t>Based simple on the example data (</w:t>
      </w:r>
      <w:r>
        <w:rPr>
          <w:i/>
          <w:iCs/>
        </w:rPr>
        <w:t>not</w:t>
      </w:r>
      <w:r>
        <w:t xml:space="preserve"> real TO data) it does not appear that this difference is particularly numerically important:</w:t>
      </w:r>
    </w:p>
    <w:p w14:paraId="26FAA045" w14:textId="77E33D0C" w:rsidR="00750671" w:rsidRDefault="00750671" w:rsidP="00AA0957"/>
    <w:tbl>
      <w:tblPr>
        <w:tblW w:w="5628" w:type="dxa"/>
        <w:tblLook w:val="04A0" w:firstRow="1" w:lastRow="0" w:firstColumn="1" w:lastColumn="0" w:noHBand="0" w:noVBand="1"/>
      </w:tblPr>
      <w:tblGrid>
        <w:gridCol w:w="1488"/>
        <w:gridCol w:w="1456"/>
        <w:gridCol w:w="1376"/>
        <w:gridCol w:w="1308"/>
      </w:tblGrid>
      <w:tr w:rsidR="00750671" w:rsidRPr="00750671" w14:paraId="364C1BAB" w14:textId="77777777" w:rsidTr="00750671">
        <w:trPr>
          <w:trHeight w:val="300"/>
        </w:trPr>
        <w:tc>
          <w:tcPr>
            <w:tcW w:w="1488" w:type="dxa"/>
            <w:tcBorders>
              <w:top w:val="single" w:sz="4" w:space="0" w:color="auto"/>
              <w:left w:val="single" w:sz="4" w:space="0" w:color="auto"/>
              <w:bottom w:val="nil"/>
              <w:right w:val="nil"/>
            </w:tcBorders>
            <w:shd w:val="clear" w:color="000000" w:fill="FFFFFF"/>
            <w:noWrap/>
            <w:vAlign w:val="bottom"/>
            <w:hideMark/>
          </w:tcPr>
          <w:p w14:paraId="7A47FFC2" w14:textId="77777777" w:rsidR="00750671" w:rsidRPr="00750671" w:rsidRDefault="00750671" w:rsidP="00750671">
            <w:pPr>
              <w:rPr>
                <w:rFonts w:ascii="Calibri" w:eastAsia="Times New Roman" w:hAnsi="Calibri" w:cs="Calibri"/>
                <w:color w:val="000000"/>
                <w:lang w:eastAsia="en-GB"/>
              </w:rPr>
            </w:pPr>
            <w:r w:rsidRPr="00750671">
              <w:rPr>
                <w:rFonts w:ascii="Calibri" w:eastAsia="Times New Roman" w:hAnsi="Calibri" w:cs="Calibri"/>
                <w:color w:val="000000"/>
                <w:lang w:eastAsia="en-GB"/>
              </w:rPr>
              <w:t>Length (km)</w:t>
            </w:r>
          </w:p>
        </w:tc>
        <w:tc>
          <w:tcPr>
            <w:tcW w:w="1456" w:type="dxa"/>
            <w:tcBorders>
              <w:top w:val="single" w:sz="4" w:space="0" w:color="auto"/>
              <w:left w:val="nil"/>
              <w:bottom w:val="nil"/>
              <w:right w:val="nil"/>
            </w:tcBorders>
            <w:shd w:val="clear" w:color="000000" w:fill="FFFFFF"/>
            <w:noWrap/>
            <w:vAlign w:val="bottom"/>
            <w:hideMark/>
          </w:tcPr>
          <w:p w14:paraId="372BBCF3" w14:textId="77777777" w:rsidR="00750671" w:rsidRPr="00750671" w:rsidRDefault="00750671" w:rsidP="00750671">
            <w:pPr>
              <w:rPr>
                <w:rFonts w:ascii="Calibri" w:eastAsia="Times New Roman" w:hAnsi="Calibri" w:cs="Calibri"/>
                <w:color w:val="000000"/>
                <w:lang w:eastAsia="en-GB"/>
              </w:rPr>
            </w:pPr>
            <w:r w:rsidRPr="00750671">
              <w:rPr>
                <w:rFonts w:ascii="Calibri" w:eastAsia="Times New Roman" w:hAnsi="Calibri" w:cs="Calibri"/>
                <w:color w:val="000000"/>
                <w:lang w:eastAsia="en-GB"/>
              </w:rPr>
              <w:t>Capital Cost (£)</w:t>
            </w:r>
          </w:p>
        </w:tc>
        <w:tc>
          <w:tcPr>
            <w:tcW w:w="1376" w:type="dxa"/>
            <w:tcBorders>
              <w:top w:val="single" w:sz="4" w:space="0" w:color="auto"/>
              <w:left w:val="nil"/>
              <w:bottom w:val="nil"/>
              <w:right w:val="nil"/>
            </w:tcBorders>
            <w:shd w:val="clear" w:color="auto" w:fill="auto"/>
            <w:noWrap/>
            <w:vAlign w:val="bottom"/>
            <w:hideMark/>
          </w:tcPr>
          <w:p w14:paraId="23FC7957" w14:textId="0F14B5B8" w:rsidR="00750671" w:rsidRPr="00750671" w:rsidRDefault="00750671" w:rsidP="00750671">
            <w:pPr>
              <w:rPr>
                <w:rFonts w:ascii="Calibri" w:eastAsia="Times New Roman" w:hAnsi="Calibri" w:cs="Calibri"/>
                <w:color w:val="000000"/>
                <w:lang w:eastAsia="en-GB"/>
              </w:rPr>
            </w:pPr>
            <w:r w:rsidRPr="00750671">
              <w:rPr>
                <w:rFonts w:ascii="Calibri" w:eastAsia="Times New Roman" w:hAnsi="Calibri" w:cs="Calibri"/>
                <w:color w:val="000000"/>
                <w:lang w:eastAsia="en-GB"/>
              </w:rPr>
              <w:t xml:space="preserve">Circuit </w:t>
            </w:r>
            <w:r w:rsidRPr="00750671">
              <w:rPr>
                <w:rFonts w:ascii="Calibri" w:eastAsia="Times New Roman" w:hAnsi="Calibri" w:cs="Calibri"/>
                <w:color w:val="000000"/>
                <w:lang w:eastAsia="en-GB"/>
              </w:rPr>
              <w:t>Capacity</w:t>
            </w:r>
            <w:r w:rsidRPr="00750671">
              <w:rPr>
                <w:rFonts w:ascii="Calibri" w:eastAsia="Times New Roman" w:hAnsi="Calibri" w:cs="Calibri"/>
                <w:color w:val="000000"/>
                <w:lang w:eastAsia="en-GB"/>
              </w:rPr>
              <w:t xml:space="preserve"> (MW)</w:t>
            </w:r>
          </w:p>
        </w:tc>
        <w:tc>
          <w:tcPr>
            <w:tcW w:w="1308" w:type="dxa"/>
            <w:tcBorders>
              <w:top w:val="single" w:sz="4" w:space="0" w:color="auto"/>
              <w:left w:val="nil"/>
              <w:bottom w:val="nil"/>
              <w:right w:val="single" w:sz="4" w:space="0" w:color="auto"/>
            </w:tcBorders>
            <w:shd w:val="clear" w:color="auto" w:fill="auto"/>
            <w:noWrap/>
            <w:vAlign w:val="bottom"/>
            <w:hideMark/>
          </w:tcPr>
          <w:p w14:paraId="27C7C7E3" w14:textId="77777777" w:rsidR="00750671" w:rsidRPr="00750671" w:rsidRDefault="00750671" w:rsidP="00750671">
            <w:pPr>
              <w:rPr>
                <w:rFonts w:ascii="Calibri" w:eastAsia="Times New Roman" w:hAnsi="Calibri" w:cs="Calibri"/>
                <w:color w:val="000000"/>
                <w:lang w:eastAsia="en-GB"/>
              </w:rPr>
            </w:pPr>
            <w:r w:rsidRPr="00750671">
              <w:rPr>
                <w:rFonts w:ascii="Calibri" w:eastAsia="Times New Roman" w:hAnsi="Calibri" w:cs="Calibri"/>
                <w:color w:val="000000"/>
                <w:lang w:eastAsia="en-GB"/>
              </w:rPr>
              <w:t>Cost per MW.km</w:t>
            </w:r>
          </w:p>
        </w:tc>
      </w:tr>
      <w:tr w:rsidR="00750671" w:rsidRPr="00750671" w14:paraId="7883E93D" w14:textId="77777777" w:rsidTr="00750671">
        <w:trPr>
          <w:trHeight w:val="300"/>
        </w:trPr>
        <w:tc>
          <w:tcPr>
            <w:tcW w:w="1488" w:type="dxa"/>
            <w:tcBorders>
              <w:top w:val="single" w:sz="4" w:space="0" w:color="auto"/>
              <w:left w:val="single" w:sz="4" w:space="0" w:color="auto"/>
              <w:bottom w:val="nil"/>
              <w:right w:val="nil"/>
            </w:tcBorders>
            <w:shd w:val="clear" w:color="000000" w:fill="FFFFFF"/>
            <w:noWrap/>
            <w:vAlign w:val="bottom"/>
            <w:hideMark/>
          </w:tcPr>
          <w:p w14:paraId="20CE3E8C"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10</w:t>
            </w:r>
          </w:p>
        </w:tc>
        <w:tc>
          <w:tcPr>
            <w:tcW w:w="1456" w:type="dxa"/>
            <w:tcBorders>
              <w:top w:val="single" w:sz="4" w:space="0" w:color="auto"/>
              <w:left w:val="nil"/>
              <w:bottom w:val="nil"/>
              <w:right w:val="nil"/>
            </w:tcBorders>
            <w:shd w:val="clear" w:color="000000" w:fill="FFFFFF"/>
            <w:noWrap/>
            <w:vAlign w:val="bottom"/>
            <w:hideMark/>
          </w:tcPr>
          <w:p w14:paraId="23424904"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5,000,000</w:t>
            </w:r>
          </w:p>
        </w:tc>
        <w:tc>
          <w:tcPr>
            <w:tcW w:w="1376" w:type="dxa"/>
            <w:tcBorders>
              <w:top w:val="single" w:sz="4" w:space="0" w:color="auto"/>
              <w:left w:val="nil"/>
              <w:bottom w:val="nil"/>
              <w:right w:val="nil"/>
            </w:tcBorders>
            <w:shd w:val="clear" w:color="auto" w:fill="auto"/>
            <w:noWrap/>
            <w:vAlign w:val="bottom"/>
            <w:hideMark/>
          </w:tcPr>
          <w:p w14:paraId="40F7F538"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2000</w:t>
            </w:r>
          </w:p>
        </w:tc>
        <w:tc>
          <w:tcPr>
            <w:tcW w:w="1308" w:type="dxa"/>
            <w:tcBorders>
              <w:top w:val="single" w:sz="4" w:space="0" w:color="auto"/>
              <w:left w:val="nil"/>
              <w:bottom w:val="nil"/>
              <w:right w:val="single" w:sz="4" w:space="0" w:color="auto"/>
            </w:tcBorders>
            <w:shd w:val="clear" w:color="auto" w:fill="auto"/>
            <w:noWrap/>
            <w:vAlign w:val="bottom"/>
            <w:hideMark/>
          </w:tcPr>
          <w:p w14:paraId="03874C39"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250</w:t>
            </w:r>
          </w:p>
        </w:tc>
      </w:tr>
      <w:tr w:rsidR="00750671" w:rsidRPr="00750671" w14:paraId="4876B8CE" w14:textId="77777777" w:rsidTr="00750671">
        <w:trPr>
          <w:trHeight w:val="300"/>
        </w:trPr>
        <w:tc>
          <w:tcPr>
            <w:tcW w:w="1488" w:type="dxa"/>
            <w:tcBorders>
              <w:top w:val="nil"/>
              <w:left w:val="single" w:sz="4" w:space="0" w:color="auto"/>
              <w:bottom w:val="nil"/>
              <w:right w:val="nil"/>
            </w:tcBorders>
            <w:shd w:val="clear" w:color="000000" w:fill="FFFFFF"/>
            <w:noWrap/>
            <w:vAlign w:val="bottom"/>
            <w:hideMark/>
          </w:tcPr>
          <w:p w14:paraId="7797D4C0"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20</w:t>
            </w:r>
          </w:p>
        </w:tc>
        <w:tc>
          <w:tcPr>
            <w:tcW w:w="1456" w:type="dxa"/>
            <w:tcBorders>
              <w:top w:val="nil"/>
              <w:left w:val="nil"/>
              <w:bottom w:val="nil"/>
              <w:right w:val="nil"/>
            </w:tcBorders>
            <w:shd w:val="clear" w:color="000000" w:fill="FFFFFF"/>
            <w:noWrap/>
            <w:vAlign w:val="bottom"/>
            <w:hideMark/>
          </w:tcPr>
          <w:p w14:paraId="16C9B2E1"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11,000,000</w:t>
            </w:r>
          </w:p>
        </w:tc>
        <w:tc>
          <w:tcPr>
            <w:tcW w:w="1376" w:type="dxa"/>
            <w:tcBorders>
              <w:top w:val="nil"/>
              <w:left w:val="nil"/>
              <w:bottom w:val="nil"/>
              <w:right w:val="nil"/>
            </w:tcBorders>
            <w:shd w:val="clear" w:color="auto" w:fill="auto"/>
            <w:noWrap/>
            <w:vAlign w:val="bottom"/>
            <w:hideMark/>
          </w:tcPr>
          <w:p w14:paraId="52E00F38"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2500</w:t>
            </w:r>
          </w:p>
        </w:tc>
        <w:tc>
          <w:tcPr>
            <w:tcW w:w="1308" w:type="dxa"/>
            <w:tcBorders>
              <w:top w:val="nil"/>
              <w:left w:val="nil"/>
              <w:bottom w:val="nil"/>
              <w:right w:val="single" w:sz="4" w:space="0" w:color="auto"/>
            </w:tcBorders>
            <w:shd w:val="clear" w:color="auto" w:fill="auto"/>
            <w:noWrap/>
            <w:vAlign w:val="bottom"/>
            <w:hideMark/>
          </w:tcPr>
          <w:p w14:paraId="78B4BAFF"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220</w:t>
            </w:r>
          </w:p>
        </w:tc>
      </w:tr>
      <w:tr w:rsidR="00750671" w:rsidRPr="00750671" w14:paraId="4918B170" w14:textId="77777777" w:rsidTr="00750671">
        <w:trPr>
          <w:trHeight w:val="300"/>
        </w:trPr>
        <w:tc>
          <w:tcPr>
            <w:tcW w:w="1488" w:type="dxa"/>
            <w:tcBorders>
              <w:top w:val="nil"/>
              <w:left w:val="single" w:sz="4" w:space="0" w:color="auto"/>
              <w:bottom w:val="nil"/>
              <w:right w:val="nil"/>
            </w:tcBorders>
            <w:shd w:val="clear" w:color="000000" w:fill="FFFFFF"/>
            <w:noWrap/>
            <w:vAlign w:val="bottom"/>
            <w:hideMark/>
          </w:tcPr>
          <w:p w14:paraId="0D9C8D88"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15</w:t>
            </w:r>
          </w:p>
        </w:tc>
        <w:tc>
          <w:tcPr>
            <w:tcW w:w="1456" w:type="dxa"/>
            <w:tcBorders>
              <w:top w:val="nil"/>
              <w:left w:val="nil"/>
              <w:bottom w:val="nil"/>
              <w:right w:val="nil"/>
            </w:tcBorders>
            <w:shd w:val="clear" w:color="000000" w:fill="FFFFFF"/>
            <w:noWrap/>
            <w:vAlign w:val="bottom"/>
            <w:hideMark/>
          </w:tcPr>
          <w:p w14:paraId="49EE53F3"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8,625,000</w:t>
            </w:r>
          </w:p>
        </w:tc>
        <w:tc>
          <w:tcPr>
            <w:tcW w:w="1376" w:type="dxa"/>
            <w:tcBorders>
              <w:top w:val="nil"/>
              <w:left w:val="nil"/>
              <w:bottom w:val="nil"/>
              <w:right w:val="nil"/>
            </w:tcBorders>
            <w:shd w:val="clear" w:color="auto" w:fill="auto"/>
            <w:noWrap/>
            <w:vAlign w:val="bottom"/>
            <w:hideMark/>
          </w:tcPr>
          <w:p w14:paraId="57177E4C"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2700</w:t>
            </w:r>
          </w:p>
        </w:tc>
        <w:tc>
          <w:tcPr>
            <w:tcW w:w="1308" w:type="dxa"/>
            <w:tcBorders>
              <w:top w:val="nil"/>
              <w:left w:val="nil"/>
              <w:bottom w:val="nil"/>
              <w:right w:val="single" w:sz="4" w:space="0" w:color="auto"/>
            </w:tcBorders>
            <w:shd w:val="clear" w:color="auto" w:fill="auto"/>
            <w:noWrap/>
            <w:vAlign w:val="bottom"/>
            <w:hideMark/>
          </w:tcPr>
          <w:p w14:paraId="3B550E77"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213</w:t>
            </w:r>
          </w:p>
        </w:tc>
      </w:tr>
      <w:tr w:rsidR="00750671" w:rsidRPr="00750671" w14:paraId="2597252F" w14:textId="77777777" w:rsidTr="00750671">
        <w:trPr>
          <w:trHeight w:val="300"/>
        </w:trPr>
        <w:tc>
          <w:tcPr>
            <w:tcW w:w="1488" w:type="dxa"/>
            <w:tcBorders>
              <w:top w:val="nil"/>
              <w:left w:val="single" w:sz="4" w:space="0" w:color="auto"/>
              <w:bottom w:val="single" w:sz="4" w:space="0" w:color="auto"/>
              <w:right w:val="nil"/>
            </w:tcBorders>
            <w:shd w:val="clear" w:color="000000" w:fill="FFFFFF"/>
            <w:noWrap/>
            <w:vAlign w:val="bottom"/>
            <w:hideMark/>
          </w:tcPr>
          <w:p w14:paraId="535BF718"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75</w:t>
            </w:r>
          </w:p>
        </w:tc>
        <w:tc>
          <w:tcPr>
            <w:tcW w:w="1456" w:type="dxa"/>
            <w:tcBorders>
              <w:top w:val="nil"/>
              <w:left w:val="nil"/>
              <w:bottom w:val="single" w:sz="4" w:space="0" w:color="auto"/>
              <w:right w:val="nil"/>
            </w:tcBorders>
            <w:shd w:val="clear" w:color="000000" w:fill="FFFFFF"/>
            <w:noWrap/>
            <w:vAlign w:val="bottom"/>
            <w:hideMark/>
          </w:tcPr>
          <w:p w14:paraId="0A2332A8"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52,500,000</w:t>
            </w:r>
          </w:p>
        </w:tc>
        <w:tc>
          <w:tcPr>
            <w:tcW w:w="1376" w:type="dxa"/>
            <w:tcBorders>
              <w:top w:val="nil"/>
              <w:left w:val="nil"/>
              <w:bottom w:val="single" w:sz="4" w:space="0" w:color="auto"/>
              <w:right w:val="nil"/>
            </w:tcBorders>
            <w:shd w:val="clear" w:color="auto" w:fill="auto"/>
            <w:noWrap/>
            <w:vAlign w:val="bottom"/>
            <w:hideMark/>
          </w:tcPr>
          <w:p w14:paraId="035B0FD5"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3120</w:t>
            </w:r>
          </w:p>
        </w:tc>
        <w:tc>
          <w:tcPr>
            <w:tcW w:w="1308" w:type="dxa"/>
            <w:tcBorders>
              <w:top w:val="nil"/>
              <w:left w:val="nil"/>
              <w:bottom w:val="single" w:sz="4" w:space="0" w:color="auto"/>
              <w:right w:val="single" w:sz="4" w:space="0" w:color="auto"/>
            </w:tcBorders>
            <w:shd w:val="clear" w:color="auto" w:fill="auto"/>
            <w:noWrap/>
            <w:vAlign w:val="bottom"/>
            <w:hideMark/>
          </w:tcPr>
          <w:p w14:paraId="577B05B7" w14:textId="77777777" w:rsidR="00750671" w:rsidRPr="00750671" w:rsidRDefault="00750671" w:rsidP="00750671">
            <w:pPr>
              <w:jc w:val="right"/>
              <w:rPr>
                <w:rFonts w:ascii="Calibri" w:eastAsia="Times New Roman" w:hAnsi="Calibri" w:cs="Calibri"/>
                <w:color w:val="000000"/>
                <w:lang w:eastAsia="en-GB"/>
              </w:rPr>
            </w:pPr>
            <w:r w:rsidRPr="00750671">
              <w:rPr>
                <w:rFonts w:ascii="Calibri" w:eastAsia="Times New Roman" w:hAnsi="Calibri" w:cs="Calibri"/>
                <w:color w:val="000000"/>
                <w:lang w:eastAsia="en-GB"/>
              </w:rPr>
              <w:t>224</w:t>
            </w:r>
          </w:p>
        </w:tc>
      </w:tr>
    </w:tbl>
    <w:p w14:paraId="1CFF1D9D" w14:textId="2A449B76" w:rsidR="00750671" w:rsidRDefault="00750671" w:rsidP="00AA0957"/>
    <w:p w14:paraId="657E4F9B" w14:textId="1D5F9B72" w:rsidR="00750671" w:rsidRDefault="00750671" w:rsidP="00AA0957">
      <w:r>
        <w:t>The resulting average values are:</w:t>
      </w:r>
    </w:p>
    <w:tbl>
      <w:tblPr>
        <w:tblW w:w="2679" w:type="dxa"/>
        <w:tblLook w:val="04A0" w:firstRow="1" w:lastRow="0" w:firstColumn="1" w:lastColumn="0" w:noHBand="0" w:noVBand="1"/>
      </w:tblPr>
      <w:tblGrid>
        <w:gridCol w:w="1522"/>
        <w:gridCol w:w="1522"/>
      </w:tblGrid>
      <w:tr w:rsidR="00B628D6" w:rsidRPr="00B628D6" w14:paraId="1FA43DCB" w14:textId="77777777" w:rsidTr="00B628D6">
        <w:trPr>
          <w:trHeight w:val="300"/>
        </w:trPr>
        <w:tc>
          <w:tcPr>
            <w:tcW w:w="1368" w:type="dxa"/>
            <w:tcBorders>
              <w:top w:val="single" w:sz="4" w:space="0" w:color="auto"/>
              <w:left w:val="single" w:sz="4" w:space="0" w:color="auto"/>
              <w:bottom w:val="nil"/>
              <w:right w:val="nil"/>
            </w:tcBorders>
            <w:shd w:val="clear" w:color="auto" w:fill="auto"/>
            <w:noWrap/>
            <w:vAlign w:val="bottom"/>
            <w:hideMark/>
          </w:tcPr>
          <w:p w14:paraId="47F6B610" w14:textId="77777777" w:rsidR="00B628D6" w:rsidRPr="00B628D6" w:rsidRDefault="00B628D6" w:rsidP="00B628D6">
            <w:pPr>
              <w:rPr>
                <w:rFonts w:ascii="Calibri" w:eastAsia="Times New Roman" w:hAnsi="Calibri" w:cs="Calibri"/>
                <w:color w:val="000000"/>
                <w:lang w:eastAsia="en-GB"/>
              </w:rPr>
            </w:pPr>
            <w:r w:rsidRPr="00B628D6">
              <w:rPr>
                <w:rFonts w:ascii="Calibri" w:eastAsia="Times New Roman" w:hAnsi="Calibri" w:cs="Calibri"/>
                <w:color w:val="000000"/>
                <w:lang w:eastAsia="en-GB"/>
              </w:rPr>
              <w:t>Length Weighted (GBP/MW.km)</w:t>
            </w:r>
          </w:p>
        </w:tc>
        <w:tc>
          <w:tcPr>
            <w:tcW w:w="1311" w:type="dxa"/>
            <w:tcBorders>
              <w:top w:val="single" w:sz="4" w:space="0" w:color="auto"/>
              <w:left w:val="nil"/>
              <w:bottom w:val="nil"/>
              <w:right w:val="single" w:sz="4" w:space="0" w:color="auto"/>
            </w:tcBorders>
            <w:shd w:val="clear" w:color="auto" w:fill="auto"/>
            <w:noWrap/>
            <w:vAlign w:val="bottom"/>
            <w:hideMark/>
          </w:tcPr>
          <w:p w14:paraId="5EB34D2A" w14:textId="18D0CD45" w:rsidR="00B628D6" w:rsidRPr="00B628D6" w:rsidRDefault="00B628D6" w:rsidP="00B628D6">
            <w:pPr>
              <w:rPr>
                <w:rFonts w:ascii="Calibri" w:eastAsia="Times New Roman" w:hAnsi="Calibri" w:cs="Calibri"/>
                <w:color w:val="000000"/>
                <w:lang w:eastAsia="en-GB"/>
              </w:rPr>
            </w:pPr>
            <w:r w:rsidRPr="00B628D6">
              <w:rPr>
                <w:rFonts w:ascii="Calibri" w:eastAsia="Times New Roman" w:hAnsi="Calibri" w:cs="Calibri"/>
                <w:color w:val="000000"/>
                <w:lang w:eastAsia="en-GB"/>
              </w:rPr>
              <w:t>MW</w:t>
            </w:r>
            <w:r>
              <w:rPr>
                <w:rFonts w:ascii="Calibri" w:eastAsia="Times New Roman" w:hAnsi="Calibri" w:cs="Calibri"/>
                <w:color w:val="000000"/>
                <w:lang w:eastAsia="en-GB"/>
              </w:rPr>
              <w:t>.</w:t>
            </w:r>
            <w:r w:rsidRPr="00B628D6">
              <w:rPr>
                <w:rFonts w:ascii="Calibri" w:eastAsia="Times New Roman" w:hAnsi="Calibri" w:cs="Calibri"/>
                <w:color w:val="000000"/>
                <w:lang w:eastAsia="en-GB"/>
              </w:rPr>
              <w:t>km weighted (GBP/MW.km)</w:t>
            </w:r>
          </w:p>
        </w:tc>
      </w:tr>
      <w:tr w:rsidR="00B628D6" w:rsidRPr="00B628D6" w14:paraId="1998DFDC" w14:textId="77777777" w:rsidTr="00B628D6">
        <w:trPr>
          <w:trHeight w:val="300"/>
        </w:trPr>
        <w:tc>
          <w:tcPr>
            <w:tcW w:w="1368" w:type="dxa"/>
            <w:tcBorders>
              <w:top w:val="single" w:sz="4" w:space="0" w:color="auto"/>
              <w:left w:val="single" w:sz="4" w:space="0" w:color="auto"/>
              <w:bottom w:val="single" w:sz="4" w:space="0" w:color="auto"/>
              <w:right w:val="nil"/>
            </w:tcBorders>
            <w:shd w:val="clear" w:color="auto" w:fill="auto"/>
            <w:noWrap/>
            <w:vAlign w:val="bottom"/>
            <w:hideMark/>
          </w:tcPr>
          <w:p w14:paraId="7AE3600C" w14:textId="77777777" w:rsidR="00B628D6" w:rsidRPr="00B628D6" w:rsidRDefault="00B628D6" w:rsidP="00B628D6">
            <w:pPr>
              <w:jc w:val="right"/>
              <w:rPr>
                <w:rFonts w:ascii="Calibri" w:eastAsia="Times New Roman" w:hAnsi="Calibri" w:cs="Calibri"/>
                <w:color w:val="000000"/>
                <w:lang w:eastAsia="en-GB"/>
              </w:rPr>
            </w:pPr>
            <w:r w:rsidRPr="00B628D6">
              <w:rPr>
                <w:rFonts w:ascii="Calibri" w:eastAsia="Times New Roman" w:hAnsi="Calibri" w:cs="Calibri"/>
                <w:color w:val="000000"/>
                <w:lang w:eastAsia="en-GB"/>
              </w:rPr>
              <w:t>224.3</w:t>
            </w:r>
          </w:p>
        </w:tc>
        <w:tc>
          <w:tcPr>
            <w:tcW w:w="1311" w:type="dxa"/>
            <w:tcBorders>
              <w:top w:val="single" w:sz="4" w:space="0" w:color="auto"/>
              <w:left w:val="nil"/>
              <w:bottom w:val="single" w:sz="4" w:space="0" w:color="auto"/>
              <w:right w:val="single" w:sz="4" w:space="0" w:color="auto"/>
            </w:tcBorders>
            <w:shd w:val="clear" w:color="auto" w:fill="auto"/>
            <w:noWrap/>
            <w:vAlign w:val="bottom"/>
            <w:hideMark/>
          </w:tcPr>
          <w:p w14:paraId="7FE89B40" w14:textId="77777777" w:rsidR="00B628D6" w:rsidRPr="00B628D6" w:rsidRDefault="00B628D6" w:rsidP="00B628D6">
            <w:pPr>
              <w:jc w:val="right"/>
              <w:rPr>
                <w:rFonts w:ascii="Calibri" w:eastAsia="Times New Roman" w:hAnsi="Calibri" w:cs="Calibri"/>
                <w:color w:val="000000"/>
                <w:lang w:eastAsia="en-GB"/>
              </w:rPr>
            </w:pPr>
            <w:r w:rsidRPr="00B628D6">
              <w:rPr>
                <w:rFonts w:ascii="Calibri" w:eastAsia="Times New Roman" w:hAnsi="Calibri" w:cs="Calibri"/>
                <w:color w:val="000000"/>
                <w:lang w:eastAsia="en-GB"/>
              </w:rPr>
              <w:t>223.9</w:t>
            </w:r>
          </w:p>
        </w:tc>
      </w:tr>
    </w:tbl>
    <w:p w14:paraId="384AD8F0" w14:textId="77DB33E9" w:rsidR="00750671" w:rsidRDefault="00750671" w:rsidP="00AA0957"/>
    <w:p w14:paraId="21AE9951" w14:textId="77777777" w:rsidR="00EC6B13" w:rsidRDefault="00B628D6" w:rsidP="00AA0957">
      <w:r>
        <w:t>So the difference may be more important in princip</w:t>
      </w:r>
      <w:r w:rsidR="00852B0E">
        <w:t>le than in practice (subject to real TO data).</w:t>
      </w:r>
    </w:p>
    <w:p w14:paraId="26E9C1B7" w14:textId="77777777" w:rsidR="00EC6B13" w:rsidRDefault="00EC6B13" w:rsidP="00AA0957"/>
    <w:p w14:paraId="2F636722" w14:textId="5F41D5D4" w:rsidR="00B628D6" w:rsidRDefault="00EC6B13" w:rsidP="00AA0957">
      <w:r>
        <w:t>If we adopted a MW.km averaging, and we include circuit uprating, we need to decide if the MW.km number is based on the total capacity of the circuit, or the incremental capacity of the circuit.</w:t>
      </w:r>
    </w:p>
    <w:p w14:paraId="66806D08" w14:textId="67E3B8C6" w:rsidR="00304196" w:rsidRDefault="00304196" w:rsidP="00AA0957"/>
    <w:p w14:paraId="3A16CABB" w14:textId="6EA22572" w:rsidR="00304196" w:rsidRDefault="00304196" w:rsidP="00EC6B13">
      <w:pPr>
        <w:pStyle w:val="Heading1"/>
      </w:pPr>
      <w:r>
        <w:t>Is the size of the dataset big enough for stable pricing?</w:t>
      </w:r>
    </w:p>
    <w:p w14:paraId="307D0B15" w14:textId="16323ADC" w:rsidR="00304196" w:rsidRDefault="00304196" w:rsidP="00AA0957">
      <w:r>
        <w:t>Regardless of the validity of the method (CMP 315, CMP 375 or any potential WACMs) they may not be meaningful if the dataset is not big enough to be statistically meaningful.</w:t>
      </w:r>
    </w:p>
    <w:p w14:paraId="2008BED3" w14:textId="0A8D6146" w:rsidR="00304196" w:rsidRDefault="00304196" w:rsidP="00AA0957"/>
    <w:p w14:paraId="6CD96BE1" w14:textId="7AB4B656" w:rsidR="00304196" w:rsidRDefault="00772561" w:rsidP="00AA0957">
      <w:r>
        <w:t>An alternative might be to calculate an annual expansion constant (ECA</w:t>
      </w:r>
      <w:r>
        <w:rPr>
          <w:vertAlign w:val="subscript"/>
        </w:rPr>
        <w:t>y</w:t>
      </w:r>
      <w:r>
        <w:t xml:space="preserve">) for every year and then the actual Expansion Constant (as used in the tariff model) </w:t>
      </w:r>
      <w:r w:rsidR="00124833">
        <w:t>c</w:t>
      </w:r>
      <w:r>
        <w:t xml:space="preserve">ould </w:t>
      </w:r>
      <w:r w:rsidR="00124833">
        <w:t>be calculated annually on</w:t>
      </w:r>
      <w:r>
        <w:t xml:space="preserve"> an </w:t>
      </w:r>
      <w:hyperlink r:id="rId4" w:history="1">
        <w:r w:rsidRPr="00772561">
          <w:rPr>
            <w:rStyle w:val="Hyperlink"/>
          </w:rPr>
          <w:t>exponential moving average</w:t>
        </w:r>
      </w:hyperlink>
      <w:r>
        <w:t xml:space="preserve"> as follows:</w:t>
      </w:r>
    </w:p>
    <w:p w14:paraId="0D4143D6" w14:textId="01C3EF17" w:rsidR="00304196" w:rsidRDefault="00304196" w:rsidP="00AA0957"/>
    <w:p w14:paraId="54B803EB" w14:textId="127C830E" w:rsidR="00124833" w:rsidRPr="00124833" w:rsidRDefault="00124833" w:rsidP="00AA0957">
      <w:pPr>
        <w:rPr>
          <w:rFonts w:eastAsiaTheme="minorEastAsia"/>
        </w:rPr>
      </w:pPr>
      <m:oMathPara>
        <m:oMath>
          <m:sSub>
            <m:sSubPr>
              <m:ctrlPr>
                <w:rPr>
                  <w:rFonts w:ascii="Cambria Math" w:hAnsi="Cambria Math"/>
                  <w:i/>
                </w:rPr>
              </m:ctrlPr>
            </m:sSubPr>
            <m:e>
              <m:r>
                <w:rPr>
                  <w:rFonts w:ascii="Cambria Math" w:hAnsi="Cambria Math"/>
                </w:rPr>
                <m:t>EC</m:t>
              </m:r>
            </m:e>
            <m:sub>
              <m:r>
                <w:rPr>
                  <w:rFonts w:ascii="Cambria Math" w:hAnsi="Cambria Math"/>
                </w:rPr>
                <m:t>y</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CPI</m:t>
                  </m:r>
                </m:e>
                <m:sub>
                  <m:r>
                    <w:rPr>
                      <w:rFonts w:ascii="Cambria Math" w:hAnsi="Cambria Math"/>
                    </w:rPr>
                    <m:t>y</m:t>
                  </m:r>
                </m:sub>
              </m:sSub>
            </m:num>
            <m:den>
              <m:sSub>
                <m:sSubPr>
                  <m:ctrlPr>
                    <w:rPr>
                      <w:rFonts w:ascii="Cambria Math" w:hAnsi="Cambria Math"/>
                      <w:i/>
                    </w:rPr>
                  </m:ctrlPr>
                </m:sSubPr>
                <m:e>
                  <m:r>
                    <w:rPr>
                      <w:rFonts w:ascii="Cambria Math" w:hAnsi="Cambria Math"/>
                    </w:rPr>
                    <m:t>CPI</m:t>
                  </m:r>
                </m:e>
                <m:sub>
                  <m:r>
                    <w:rPr>
                      <w:rFonts w:ascii="Cambria Math" w:hAnsi="Cambria Math"/>
                    </w:rPr>
                    <m:t>y-1</m:t>
                  </m:r>
                </m:sub>
              </m:sSub>
            </m:den>
          </m:f>
          <m:d>
            <m:dPr>
              <m:ctrlPr>
                <w:rPr>
                  <w:rFonts w:ascii="Cambria Math" w:hAnsi="Cambria Math"/>
                  <w:i/>
                </w:rPr>
              </m:ctrlPr>
            </m:dPr>
            <m:e>
              <m:r>
                <w:rPr>
                  <w:rFonts w:ascii="Cambria Math" w:hAnsi="Cambria Math"/>
                </w:rPr>
                <m:t>1-α</m:t>
              </m:r>
            </m:e>
          </m:d>
          <m:sSub>
            <m:sSubPr>
              <m:ctrlPr>
                <w:rPr>
                  <w:rFonts w:ascii="Cambria Math" w:hAnsi="Cambria Math"/>
                  <w:i/>
                </w:rPr>
              </m:ctrlPr>
            </m:sSubPr>
            <m:e>
              <m:r>
                <w:rPr>
                  <w:rFonts w:ascii="Cambria Math" w:hAnsi="Cambria Math"/>
                </w:rPr>
                <m:t>EC</m:t>
              </m:r>
            </m:e>
            <m:sub>
              <m:r>
                <w:rPr>
                  <w:rFonts w:ascii="Cambria Math" w:hAnsi="Cambria Math"/>
                </w:rPr>
                <m:t>y-1</m:t>
              </m:r>
            </m:sub>
          </m:sSub>
          <m:r>
            <w:rPr>
              <w:rFonts w:ascii="Cambria Math" w:hAnsi="Cambria Math"/>
            </w:rPr>
            <m:t>+</m:t>
          </m:r>
          <m:r>
            <w:rPr>
              <w:rFonts w:ascii="Cambria Math" w:hAnsi="Cambria Math"/>
            </w:rPr>
            <m:t>α</m:t>
          </m:r>
          <m:r>
            <w:rPr>
              <w:rFonts w:ascii="Cambria Math" w:hAnsi="Cambria Math"/>
            </w:rPr>
            <m:t xml:space="preserve"> </m:t>
          </m:r>
          <m:sSub>
            <m:sSubPr>
              <m:ctrlPr>
                <w:rPr>
                  <w:rFonts w:ascii="Cambria Math" w:hAnsi="Cambria Math"/>
                  <w:i/>
                </w:rPr>
              </m:ctrlPr>
            </m:sSubPr>
            <m:e>
              <m:r>
                <w:rPr>
                  <w:rFonts w:ascii="Cambria Math" w:hAnsi="Cambria Math"/>
                </w:rPr>
                <m:t>ECA</m:t>
              </m:r>
            </m:e>
            <m:sub>
              <m:r>
                <w:rPr>
                  <w:rFonts w:ascii="Cambria Math" w:hAnsi="Cambria Math"/>
                </w:rPr>
                <m:t>y</m:t>
              </m:r>
            </m:sub>
          </m:sSub>
        </m:oMath>
      </m:oMathPara>
    </w:p>
    <w:p w14:paraId="1F10E5AC" w14:textId="2C19D409" w:rsidR="00124833" w:rsidRDefault="00124833" w:rsidP="00AA0957">
      <w:pPr>
        <w:rPr>
          <w:rFonts w:eastAsiaTheme="minorEastAsia"/>
        </w:rPr>
      </w:pPr>
    </w:p>
    <w:p w14:paraId="75E81A7C" w14:textId="10BE75F7" w:rsidR="00124833" w:rsidRDefault="00124833" w:rsidP="00AA0957">
      <w:pPr>
        <w:rPr>
          <w:rFonts w:eastAsiaTheme="minorEastAsia"/>
        </w:rPr>
      </w:pPr>
      <w:r>
        <w:rPr>
          <w:rFonts w:eastAsiaTheme="minorEastAsia"/>
        </w:rPr>
        <w:t xml:space="preserve">Where </w:t>
      </w:r>
      <m:oMath>
        <m:r>
          <w:rPr>
            <w:rFonts w:ascii="Cambria Math" w:hAnsi="Cambria Math"/>
          </w:rPr>
          <m:t>α</m:t>
        </m:r>
      </m:oMath>
      <w:r>
        <w:rPr>
          <w:rFonts w:eastAsiaTheme="minorEastAsia"/>
        </w:rPr>
        <w:t xml:space="preserve"> is the weighting factor </w:t>
      </w:r>
      <w:r w:rsidR="001F72A5">
        <w:rPr>
          <w:rFonts w:eastAsiaTheme="minorEastAsia"/>
        </w:rPr>
        <w:t>in the range 0 – 1.</w:t>
      </w:r>
      <w:r w:rsidR="009B13CF">
        <w:rPr>
          <w:rFonts w:eastAsiaTheme="minorEastAsia"/>
        </w:rPr>
        <w:t xml:space="preserve"> Using</w:t>
      </w:r>
      <w:r w:rsidR="001F72A5">
        <w:rPr>
          <w:rFonts w:eastAsiaTheme="minorEastAsia"/>
        </w:rPr>
        <w:t xml:space="preserve"> </w:t>
      </w:r>
      <m:oMath>
        <m:r>
          <w:rPr>
            <w:rFonts w:ascii="Cambria Math" w:hAnsi="Cambria Math"/>
          </w:rPr>
          <m:t>α</m:t>
        </m:r>
        <m:r>
          <w:rPr>
            <w:rFonts w:ascii="Cambria Math" w:hAnsi="Cambria Math"/>
          </w:rPr>
          <m:t>=0.1</m:t>
        </m:r>
      </m:oMath>
      <w:r w:rsidR="001F72A5">
        <w:rPr>
          <w:rFonts w:eastAsiaTheme="minorEastAsia"/>
        </w:rPr>
        <w:t xml:space="preserve"> could give a relatively stable result</w:t>
      </w:r>
      <w:r w:rsidR="009B13CF">
        <w:rPr>
          <w:rFonts w:eastAsiaTheme="minorEastAsia"/>
        </w:rPr>
        <w:t xml:space="preserve">. </w:t>
      </w:r>
      <w:r w:rsidR="001F72A5">
        <w:rPr>
          <w:rFonts w:eastAsiaTheme="minorEastAsia"/>
        </w:rPr>
        <w:t xml:space="preserve">CPI is the </w:t>
      </w:r>
      <w:r w:rsidR="001F72A5">
        <w:rPr>
          <w:rFonts w:eastAsiaTheme="minorEastAsia"/>
          <w:i/>
          <w:iCs/>
        </w:rPr>
        <w:t>consumer price index</w:t>
      </w:r>
      <w:r w:rsidR="001F72A5">
        <w:rPr>
          <w:rFonts w:eastAsiaTheme="minorEastAsia"/>
        </w:rPr>
        <w:t xml:space="preserve"> for the relevant year.</w:t>
      </w:r>
    </w:p>
    <w:p w14:paraId="322760DD" w14:textId="77777777" w:rsidR="001F72A5" w:rsidRPr="001F72A5" w:rsidRDefault="001F72A5" w:rsidP="00AA0957">
      <w:pPr>
        <w:rPr>
          <w:rFonts w:eastAsiaTheme="minorEastAsia"/>
        </w:rPr>
      </w:pPr>
    </w:p>
    <w:p w14:paraId="6B8F7653" w14:textId="5AED95AC" w:rsidR="00124833" w:rsidRDefault="001F72A5" w:rsidP="00AA0957">
      <w:r>
        <w:t xml:space="preserve">The annual expansion constant </w:t>
      </w:r>
      <w:r w:rsidR="009B13CF">
        <w:t xml:space="preserve">(ECA) </w:t>
      </w:r>
      <w:r>
        <w:t xml:space="preserve">would be calculated, based on the TO data for the previous year, using the CMP 315, CMP </w:t>
      </w:r>
      <w:r w:rsidR="001B6CE9">
        <w:t>375,</w:t>
      </w:r>
      <w:r>
        <w:t xml:space="preserve"> or a different method. If no data was available for the relevant year (for example there had been no new circuit build)</w:t>
      </w:r>
      <w:r w:rsidR="001B6CE9">
        <w:t xml:space="preserve"> then the ECA would simply be the previous year</w:t>
      </w:r>
      <w:r w:rsidR="009B13CF">
        <w:t>’</w:t>
      </w:r>
      <w:r w:rsidR="001B6CE9">
        <w:t xml:space="preserve">s </w:t>
      </w:r>
      <w:r w:rsidR="001B6CE9">
        <w:lastRenderedPageBreak/>
        <w:t>expansion constant indexed by CPI (and this would have the effect of simply increasing the expansion constant by CPI).</w:t>
      </w:r>
    </w:p>
    <w:p w14:paraId="0251DD5A" w14:textId="19A58889" w:rsidR="001B6CE9" w:rsidRDefault="001B6CE9" w:rsidP="00AA0957"/>
    <w:p w14:paraId="1FD133BE" w14:textId="4203CC13" w:rsidR="00D14F21" w:rsidRDefault="00171BB8" w:rsidP="00AA0957">
      <w:pPr>
        <w:rPr>
          <w:rFonts w:eastAsiaTheme="minorEastAsia"/>
        </w:rPr>
      </w:pPr>
      <w:r>
        <w:t>The effect of a moving average is to introduce price stability into the expansion constant</w:t>
      </w:r>
      <w:r w:rsidR="009B13CF">
        <w:t xml:space="preserve">, </w:t>
      </w:r>
      <w:r>
        <w:rPr>
          <w:rFonts w:eastAsiaTheme="minorEastAsia"/>
        </w:rPr>
        <w:t>limit</w:t>
      </w:r>
      <w:r w:rsidR="009B13CF">
        <w:rPr>
          <w:rFonts w:eastAsiaTheme="minorEastAsia"/>
        </w:rPr>
        <w:t>ing</w:t>
      </w:r>
      <w:r>
        <w:rPr>
          <w:rFonts w:eastAsiaTheme="minorEastAsia"/>
        </w:rPr>
        <w:t xml:space="preserve"> the range the expansion constant could move by. For </w:t>
      </w:r>
      <w:r w:rsidR="009B13CF">
        <w:rPr>
          <w:rFonts w:eastAsiaTheme="minorEastAsia"/>
        </w:rPr>
        <w:t>example, if</w:t>
      </w:r>
      <w:r w:rsidR="009B13CF">
        <w:t xml:space="preserve"> </w:t>
      </w:r>
      <m:oMath>
        <m:r>
          <w:rPr>
            <w:rFonts w:ascii="Cambria Math" w:hAnsi="Cambria Math"/>
          </w:rPr>
          <m:t>α=0.1</m:t>
        </m:r>
      </m:oMath>
      <w:r>
        <w:rPr>
          <w:rFonts w:eastAsiaTheme="minorEastAsia"/>
        </w:rPr>
        <w:t>, if in a given year could be build for free, the expansion constant would fall by 10% (after inflation)</w:t>
      </w:r>
      <w:r w:rsidR="009B13CF">
        <w:rPr>
          <w:rFonts w:eastAsiaTheme="minorEastAsia"/>
        </w:rPr>
        <w:t>;</w:t>
      </w:r>
      <w:r>
        <w:rPr>
          <w:rFonts w:eastAsiaTheme="minorEastAsia"/>
        </w:rPr>
        <w:t xml:space="preserve"> on the other hand if the cost of capacity build for a given year was twice the current value of the expansion constant, the value of the expansion constant would rise by 10%</w:t>
      </w:r>
      <w:r w:rsidR="00D14F21">
        <w:rPr>
          <w:rFonts w:eastAsiaTheme="minorEastAsia"/>
        </w:rPr>
        <w:t xml:space="preserve"> (after inflation). This would prevent price shocks (as seen at the last review) and, because the numbers would be updated annually, all market participants would be able to observe any trends.</w:t>
      </w:r>
    </w:p>
    <w:p w14:paraId="1E36872C" w14:textId="77777777" w:rsidR="00852B0E" w:rsidRDefault="00852B0E" w:rsidP="00AA0957"/>
    <w:p w14:paraId="5A879F7E" w14:textId="2F38F2DE" w:rsidR="00D14F21" w:rsidRPr="00D14F21" w:rsidRDefault="00D35C2A" w:rsidP="009B13CF">
      <w:pPr>
        <w:pStyle w:val="Heading1"/>
      </w:pPr>
      <w:r>
        <w:t>Is 400 kV</w:t>
      </w:r>
      <w:r w:rsidR="002F7C4B">
        <w:t xml:space="preserve"> overhead line</w:t>
      </w:r>
      <w:r>
        <w:t xml:space="preserve"> the right tec</w:t>
      </w:r>
      <w:r w:rsidR="00304196">
        <w:t>hnology for the Expansion Constant</w:t>
      </w:r>
      <w:r w:rsidR="002F7C4B">
        <w:t>?</w:t>
      </w:r>
    </w:p>
    <w:p w14:paraId="39F968D7" w14:textId="41B345A2" w:rsidR="00304196" w:rsidRDefault="00D604E0" w:rsidP="00AA0957">
      <w:r>
        <w:t xml:space="preserve">The workgroup had queried if 400kV overhead line is the right technology to base the </w:t>
      </w:r>
      <w:r w:rsidR="004527BE">
        <w:t>expansion constant</w:t>
      </w:r>
      <w:r>
        <w:t xml:space="preserve"> on – will future </w:t>
      </w:r>
      <w:r w:rsidR="004527BE">
        <w:t>network build be based on 400 kV overhead lines? Its clearly difficult to answer this question as it requires future knowledge.</w:t>
      </w:r>
    </w:p>
    <w:p w14:paraId="15832867" w14:textId="63B1B502" w:rsidR="004527BE" w:rsidRDefault="004527BE" w:rsidP="00AA0957"/>
    <w:p w14:paraId="3379F368" w14:textId="135A40BB" w:rsidR="004527BE" w:rsidRDefault="004527BE" w:rsidP="00AA0957">
      <w:r>
        <w:t xml:space="preserve">One solution would be to create an expansion constant for each technology in use on the network (so expansion constants </w:t>
      </w:r>
      <w:r w:rsidR="002F7C4B">
        <w:t xml:space="preserve">for 400 kV overhead line, 400 kV cable, 275 kV overhead line etc.). Adopting multiple expansion constants allows the </w:t>
      </w:r>
      <w:r w:rsidR="002F7C4B" w:rsidRPr="002F7C4B">
        <w:rPr>
          <w:i/>
          <w:iCs/>
        </w:rPr>
        <w:t>expansion factors</w:t>
      </w:r>
      <w:r w:rsidR="002F7C4B">
        <w:t xml:space="preserve"> to be removed from the model.</w:t>
      </w:r>
    </w:p>
    <w:p w14:paraId="0871F9A3" w14:textId="1782A26E" w:rsidR="002F7C4B" w:rsidRDefault="002F7C4B" w:rsidP="00AA0957"/>
    <w:p w14:paraId="099E22FE" w14:textId="2C8B1FA5" w:rsidR="002F7C4B" w:rsidRDefault="002F7C4B" w:rsidP="00AA0957">
      <w:r>
        <w:t>Using technology specific expansion constants would also add to the numeric stability of the solution (where data is sparce) if the exponential moving average (above) was adopted (for example, the price of 275 kV cable</w:t>
      </w:r>
      <w:r w:rsidR="00E50809">
        <w:t xml:space="preserve"> in the transport</w:t>
      </w:r>
      <w:r>
        <w:t xml:space="preserve"> </w:t>
      </w:r>
      <w:r w:rsidR="00E50809">
        <w:t xml:space="preserve">model </w:t>
      </w:r>
      <w:r>
        <w:t xml:space="preserve">would not change </w:t>
      </w:r>
      <w:r w:rsidR="00E50809">
        <w:t>simply because the price of a 400 kV overhead line had been updated in a year where there was no new 275 kV cable construction).</w:t>
      </w:r>
    </w:p>
    <w:p w14:paraId="02F75B70" w14:textId="667B822B" w:rsidR="004527BE" w:rsidRDefault="004527BE" w:rsidP="00AA0957"/>
    <w:p w14:paraId="2B3DAB74" w14:textId="77777777" w:rsidR="004527BE" w:rsidRPr="00750671" w:rsidRDefault="004527BE" w:rsidP="00AA0957"/>
    <w:sectPr w:rsidR="004527BE" w:rsidRPr="007506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957"/>
    <w:rsid w:val="00124833"/>
    <w:rsid w:val="00171BB8"/>
    <w:rsid w:val="001B6CE9"/>
    <w:rsid w:val="001F72A5"/>
    <w:rsid w:val="002F7C4B"/>
    <w:rsid w:val="00304196"/>
    <w:rsid w:val="004527BE"/>
    <w:rsid w:val="00750671"/>
    <w:rsid w:val="00772561"/>
    <w:rsid w:val="00852B0E"/>
    <w:rsid w:val="00977AF7"/>
    <w:rsid w:val="009B13CF"/>
    <w:rsid w:val="00AA0957"/>
    <w:rsid w:val="00B628D6"/>
    <w:rsid w:val="00D14F21"/>
    <w:rsid w:val="00D35C2A"/>
    <w:rsid w:val="00D604E0"/>
    <w:rsid w:val="00E50809"/>
    <w:rsid w:val="00EC6B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03A03"/>
  <w15:chartTrackingRefBased/>
  <w15:docId w15:val="{42637F60-6CA3-484F-A1E1-7EE6852D2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095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957"/>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772561"/>
    <w:rPr>
      <w:color w:val="0563C1" w:themeColor="hyperlink"/>
      <w:u w:val="single"/>
    </w:rPr>
  </w:style>
  <w:style w:type="character" w:styleId="UnresolvedMention">
    <w:name w:val="Unresolved Mention"/>
    <w:basedOn w:val="DefaultParagraphFont"/>
    <w:uiPriority w:val="99"/>
    <w:semiHidden/>
    <w:unhideWhenUsed/>
    <w:rsid w:val="00772561"/>
    <w:rPr>
      <w:color w:val="605E5C"/>
      <w:shd w:val="clear" w:color="auto" w:fill="E1DFDD"/>
    </w:rPr>
  </w:style>
  <w:style w:type="character" w:styleId="PlaceholderText">
    <w:name w:val="Placeholder Text"/>
    <w:basedOn w:val="DefaultParagraphFont"/>
    <w:uiPriority w:val="99"/>
    <w:semiHidden/>
    <w:rsid w:val="001248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34139">
      <w:bodyDiv w:val="1"/>
      <w:marLeft w:val="0"/>
      <w:marRight w:val="0"/>
      <w:marTop w:val="0"/>
      <w:marBottom w:val="0"/>
      <w:divBdr>
        <w:top w:val="none" w:sz="0" w:space="0" w:color="auto"/>
        <w:left w:val="none" w:sz="0" w:space="0" w:color="auto"/>
        <w:bottom w:val="none" w:sz="0" w:space="0" w:color="auto"/>
        <w:right w:val="none" w:sz="0" w:space="0" w:color="auto"/>
      </w:divBdr>
    </w:div>
    <w:div w:id="8236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n.wikipedia.org/wiki/Moving_average"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EAB041-67BD-42BC-9B2E-E6553F92DEC9}"/>
</file>

<file path=customXml/itemProps2.xml><?xml version="1.0" encoding="utf-8"?>
<ds:datastoreItem xmlns:ds="http://schemas.openxmlformats.org/officeDocument/2006/customXml" ds:itemID="{28FE24EF-8183-45FF-AE6D-A694C5995DF9}"/>
</file>

<file path=customXml/itemProps3.xml><?xml version="1.0" encoding="utf-8"?>
<ds:datastoreItem xmlns:ds="http://schemas.openxmlformats.org/officeDocument/2006/customXml" ds:itemID="{655AD306-12BB-4919-9BB6-8B046A783458}"/>
</file>

<file path=docProps/app.xml><?xml version="1.0" encoding="utf-8"?>
<Properties xmlns="http://schemas.openxmlformats.org/officeDocument/2006/extended-properties" xmlns:vt="http://schemas.openxmlformats.org/officeDocument/2006/docPropsVTypes">
  <Template>Normal.dotm</Template>
  <TotalTime>101</TotalTime>
  <Pages>2</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Sillito</dc:creator>
  <cp:keywords/>
  <dc:description/>
  <cp:lastModifiedBy>Nick Sillito</cp:lastModifiedBy>
  <cp:revision>2</cp:revision>
  <cp:lastPrinted>2022-07-04T08:25:00Z</cp:lastPrinted>
  <dcterms:created xsi:type="dcterms:W3CDTF">2022-07-04T06:53:00Z</dcterms:created>
  <dcterms:modified xsi:type="dcterms:W3CDTF">2022-07-04T08:35:00Z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